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b/>
          <w:i w:val="0"/>
          <w:caps w:val="0"/>
          <w:spacing w:val="0"/>
          <w:w w:val="100"/>
          <w:sz w:val="20"/>
        </w:rPr>
      </w:pPr>
      <w:r>
        <w:rPr>
          <w:rStyle w:val="7"/>
          <w:rFonts w:ascii="黑体" w:hAnsi="黑体" w:eastAsia="黑体"/>
          <w:b/>
          <w:i w:val="0"/>
          <w:caps w:val="0"/>
          <w:spacing w:val="0"/>
          <w:w w:val="100"/>
          <w:sz w:val="36"/>
          <w:szCs w:val="44"/>
        </w:rPr>
        <w:t>三亚市</w:t>
      </w:r>
      <w:r>
        <w:rPr>
          <w:rStyle w:val="7"/>
          <w:rFonts w:hint="eastAsia" w:ascii="黑体" w:hAnsi="黑体" w:eastAsia="黑体"/>
          <w:b/>
          <w:i w:val="0"/>
          <w:caps w:val="0"/>
          <w:spacing w:val="0"/>
          <w:w w:val="100"/>
          <w:sz w:val="36"/>
          <w:szCs w:val="44"/>
          <w:lang w:val="en-US" w:eastAsia="zh-CN"/>
        </w:rPr>
        <w:t>学区化</w:t>
      </w:r>
      <w:r>
        <w:rPr>
          <w:rStyle w:val="7"/>
          <w:rFonts w:ascii="黑体" w:hAnsi="黑体" w:eastAsia="黑体"/>
          <w:b/>
          <w:i w:val="0"/>
          <w:caps w:val="0"/>
          <w:spacing w:val="0"/>
          <w:w w:val="100"/>
          <w:sz w:val="36"/>
          <w:szCs w:val="44"/>
        </w:rPr>
        <w:t>集团化办学督导</w:t>
      </w:r>
      <w:r>
        <w:rPr>
          <w:rStyle w:val="7"/>
          <w:rFonts w:hint="eastAsia" w:ascii="黑体" w:hAnsi="黑体" w:eastAsia="黑体"/>
          <w:b/>
          <w:i w:val="0"/>
          <w:caps w:val="0"/>
          <w:spacing w:val="0"/>
          <w:w w:val="100"/>
          <w:sz w:val="36"/>
          <w:szCs w:val="44"/>
          <w:lang w:eastAsia="zh-CN"/>
        </w:rPr>
        <w:t>考核</w:t>
      </w:r>
      <w:r>
        <w:rPr>
          <w:rStyle w:val="7"/>
          <w:rFonts w:ascii="黑体" w:hAnsi="黑体" w:eastAsia="黑体"/>
          <w:b/>
          <w:i w:val="0"/>
          <w:caps w:val="0"/>
          <w:spacing w:val="0"/>
          <w:w w:val="100"/>
          <w:sz w:val="36"/>
          <w:szCs w:val="44"/>
        </w:rPr>
        <w:t>评估指标（试行）</w:t>
      </w:r>
    </w:p>
    <w:tbl>
      <w:tblPr>
        <w:tblStyle w:val="5"/>
        <w:tblW w:w="10955" w:type="dxa"/>
        <w:tblInd w:w="-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967"/>
        <w:gridCol w:w="3432"/>
        <w:gridCol w:w="5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</w:pPr>
            <w:r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</w:pPr>
            <w:r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指标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</w:pPr>
            <w:r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</w:pPr>
            <w:r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指标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</w:pPr>
            <w:r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评估内容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hint="default"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评分办法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组织管理（</w:t>
            </w:r>
            <w:r>
              <w:rPr>
                <w:rStyle w:val="7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20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愿景规划（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共同体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规划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目标合理、任务清晰、举措可行，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落实情况良好。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1.制定发展规划得3分。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2.认真组织实施得2分。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组织运作（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组织架构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合理，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运行机制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有效，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年度工作计划落实情况良好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，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经费使用效率高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1.成立共同体组织得1分。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2.制定年度工作计划得1分。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3.认真组织落实得1分4.经费使用率高得2分。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制度实施（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共同体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章程与制度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健全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建立集团内部自我督导体系，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执行情况好。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1.制定共同章程得1.5分。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2.制定共同体制度得1.5分。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3.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建立集团内部自我督导体系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1分，执行情况好得1分。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文化建设（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文化建设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纳入远景规划和工作计划，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形成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了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合作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、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互助、共赢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的团队氛围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1.文化建设纳入远景规划得2分。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2.文化建设纳入工作计划得2分。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3.形成团队氛围得1分。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课程建设（2</w:t>
            </w:r>
            <w:r>
              <w:rPr>
                <w:rStyle w:val="7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0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课程规划（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7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课程规划机制完善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能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立足区域特色整体规划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和推进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共享课程群建设，做到优势互补，布局合理。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1.制定课程规划得2分。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2.课程具有区域特色规划得2分。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3.课程能推进共享建设得2分。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4.优势互补得1分。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课程共建（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7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重视课程共建工作，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分工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合理，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合作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有力，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定期开展质量分析和常规联检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教师课程开发和实施能力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得到提升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1.制定课程共建计划得2分。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2.明确分工合作得1分。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3.定期进行课程共建的质量分析得1分。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4.定期进行课程共建的联合检测得1分。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5.教师综合能力提升得2分。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课程共享（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6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共享课程门类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数量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充足，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质量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高，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授课时长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合理，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学生受益面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广，课程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受欢迎程度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高。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1.拥有高数量共享课程得1分。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2.拥有高质量共享课程得2分。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3.使学生全面受益得2分。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4.课程受欢迎得1分。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教师发展（2</w:t>
            </w:r>
            <w:r>
              <w:rPr>
                <w:rStyle w:val="7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0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多元交流（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教师交流管理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制度科学有效、运行有力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符合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义务教育优质均衡发展的要求，教师交流的数量达到符合交流条件人员的10%以上。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1.建立有效的教师交流管理机制得1分。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2.认真组织实施得1分。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3.交流制度符合均衡发展要求得1分。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4.交流数量达标得2分。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教研合作（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定期合作教研制度执行得好，教研合作方式方法多元，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优秀教师、优秀教研组的示范辐射作用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发挥得好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，引领教师专业发展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成效显著。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1.建立合作教研制度得1分。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2.进行多样化教研合作得2分。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3.教研合作起优秀带头作用得2分。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专业支持（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为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教师专业发展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创造的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条件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良好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，支持教师在学历、职称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、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专业能力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等方面的提升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措施得力，初步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形成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了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品牌学科的教师团队。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1.创造良好教师专业发展条件得1分。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2.对教师专业发展有显著提升得2分。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3.形成特色教师团队得2分。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</w:pPr>
      <w:r>
        <w:rPr>
          <w:rStyle w:val="7"/>
          <w:rFonts w:ascii="黑体" w:hAnsi="黑体" w:eastAsia="黑体"/>
          <w:b/>
          <w:i w:val="0"/>
          <w:caps w:val="0"/>
          <w:spacing w:val="0"/>
          <w:w w:val="100"/>
          <w:sz w:val="36"/>
          <w:szCs w:val="44"/>
        </w:rPr>
        <w:t>三亚市</w:t>
      </w:r>
      <w:r>
        <w:rPr>
          <w:rStyle w:val="7"/>
          <w:rFonts w:hint="eastAsia" w:ascii="黑体" w:hAnsi="黑体" w:eastAsia="黑体"/>
          <w:b/>
          <w:i w:val="0"/>
          <w:caps w:val="0"/>
          <w:spacing w:val="0"/>
          <w:w w:val="100"/>
          <w:sz w:val="36"/>
          <w:szCs w:val="44"/>
          <w:lang w:val="en-US" w:eastAsia="zh-CN"/>
        </w:rPr>
        <w:t>学区化</w:t>
      </w:r>
      <w:r>
        <w:rPr>
          <w:rStyle w:val="7"/>
          <w:rFonts w:ascii="黑体" w:hAnsi="黑体" w:eastAsia="黑体"/>
          <w:b/>
          <w:i w:val="0"/>
          <w:caps w:val="0"/>
          <w:spacing w:val="0"/>
          <w:w w:val="100"/>
          <w:sz w:val="36"/>
          <w:szCs w:val="44"/>
        </w:rPr>
        <w:t>集团化办学督导</w:t>
      </w:r>
      <w:r>
        <w:rPr>
          <w:rStyle w:val="7"/>
          <w:rFonts w:hint="eastAsia" w:ascii="黑体" w:hAnsi="黑体" w:eastAsia="黑体"/>
          <w:b/>
          <w:i w:val="0"/>
          <w:caps w:val="0"/>
          <w:spacing w:val="0"/>
          <w:w w:val="100"/>
          <w:sz w:val="36"/>
          <w:szCs w:val="44"/>
          <w:lang w:eastAsia="zh-CN"/>
        </w:rPr>
        <w:t>考核</w:t>
      </w:r>
      <w:r>
        <w:rPr>
          <w:rStyle w:val="7"/>
          <w:rFonts w:ascii="黑体" w:hAnsi="黑体" w:eastAsia="黑体"/>
          <w:b/>
          <w:i w:val="0"/>
          <w:caps w:val="0"/>
          <w:spacing w:val="0"/>
          <w:w w:val="100"/>
          <w:sz w:val="36"/>
          <w:szCs w:val="44"/>
        </w:rPr>
        <w:t>评估指标（试行）</w:t>
      </w:r>
    </w:p>
    <w:tbl>
      <w:tblPr>
        <w:tblStyle w:val="5"/>
        <w:tblW w:w="10955" w:type="dxa"/>
        <w:tblInd w:w="-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967"/>
        <w:gridCol w:w="3432"/>
        <w:gridCol w:w="5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</w:pPr>
            <w:r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hAnsi="黑体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指标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</w:pPr>
            <w:r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hAnsi="黑体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指标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hAnsi="黑体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Style w:val="7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</w:rPr>
              <w:t>评估内容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黑体" w:hAnsi="黑体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Style w:val="7"/>
                <w:rFonts w:hint="eastAsia" w:ascii="黑体" w:hAnsi="黑体" w:eastAsia="黑体"/>
                <w:b w:val="0"/>
                <w:i w:val="0"/>
                <w:caps w:val="0"/>
                <w:spacing w:val="0"/>
                <w:w w:val="100"/>
                <w:sz w:val="28"/>
                <w:szCs w:val="36"/>
                <w:lang w:val="en-US" w:eastAsia="zh-CN"/>
              </w:rPr>
              <w:t>评分办法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教师发展（2</w:t>
            </w:r>
            <w:r>
              <w:rPr>
                <w:rStyle w:val="7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0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科研培训（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能够围绕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重点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和难点问题开展课题研究，组织联合攻关，研究成果应用于教育教学实践，成效明显；能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统筹安排师资培训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共享培训资源。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1.开展以重难点问题为目标的科研培训得2分。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2.研究成果用于实践并取得成效得1分，3.教师共享培训成果得2分。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资源共享（15分）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平台建设（5分）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重视现代化管理平台和业务平台建设，利用现代信息技术提升管理、课程、教研、科研和培训的成效显著。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1.建设现代化管理和业务平台得3分。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2.利用信息技术进行全方位提升得2分。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10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设施共享（5分）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重视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成员校之间场地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设施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的共享，有相关制度要求和具体安排，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场地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设施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的使用率高。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1.成立校区间设施共享制度得1.5分。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2.贯彻实施设施共享制度得1.5分，3.校区间场地设施使用率高得2分。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资源共享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（5分）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重视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成员校之间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信息化教育教学资源、教育教学及管理经验的共享，有相关制度要求，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资源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与经验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共享情况良好。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1.制定校区间资源共享制度得1.5分。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2.贯彻实施资源共享制度得1.5分，3.积极进行教育资源的共享得2分。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99" w:rightChars="47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优质均衡（</w:t>
            </w:r>
            <w:r>
              <w:rPr>
                <w:rStyle w:val="7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25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集团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发展度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办学整体水平逐年提升，各成员校特色逐步凸显，区域内生源流失情况持续改善。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1.整体办学水平得到提升得1.5分。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2.形成本校特色得1.5分。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3.生源流失情况下降得2分。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学生素质提升   （7分）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注重培养学生品性素养、心理健康、体育健康、劳动素养、个性特长发展。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  <w:t xml:space="preserve"> 1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.学生品性素养提高得2分。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2.学生体育健康提高得2分。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3.学生心理健康提高得1分。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4.学生劳动素养提高得1分。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5.学生个性特长得到发展得1分。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</w:p>
        </w:tc>
        <w:tc>
          <w:tcPr>
            <w:tcW w:w="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学生学业增值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8分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贯彻落实绿色学业质量观，注重集团整体学业水平提升，学业成绩两级分化逐步减小，集团内校际差异化缩小，各成员学校学业水平提升显著，后进生转化有成效。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-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10" w:leftChars="0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1.集团整体学业水平提升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  <w:t>得2分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10" w:leftChars="0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2.学业成绩两级分化逐步减小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  <w:t>得2分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10" w:leftChars="0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3.集团内校际差异缩小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  <w:t>得2分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10" w:leftChars="0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4.各成员学校学业水平提升显著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  <w:t>得1分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10" w:leftChars="0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5.后进生转化有成效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  <w:t>得1分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sz w:val="28"/>
                <w:szCs w:val="36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社会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认可度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（5分）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教师、学生、家长及社区居民对学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210" w:firstLineChars="100"/>
              <w:jc w:val="left"/>
              <w:textAlignment w:val="baseline"/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0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区或集团办学的满意度达8</w:t>
            </w: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</w:rPr>
              <w:t>%以上。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1.师生等对学区或集团办学满意度达85%以上得5分。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7"/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 xml:space="preserve"> 2.师生等对学区或集团办学满意度</w:t>
            </w:r>
            <w:bookmarkStart w:id="0" w:name="_GoBack"/>
            <w:bookmarkEnd w:id="0"/>
            <w:r>
              <w:rPr>
                <w:rStyle w:val="7"/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达85%-60%得3分，3.满意度达60%以下的不得分。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baseline"/>
        <w:rPr>
          <w:rStyle w:val="7"/>
          <w:b w:val="0"/>
          <w:i w:val="0"/>
          <w:caps w:val="0"/>
          <w:color w:val="auto"/>
          <w:spacing w:val="0"/>
          <w:w w:val="100"/>
          <w:sz w:val="20"/>
        </w:rPr>
      </w:pPr>
    </w:p>
    <w:sectPr>
      <w:pgSz w:w="11906" w:h="16838"/>
      <w:pgMar w:top="1134" w:right="850" w:bottom="85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true"/>
  <w:drawingGridHorizontalOrigin w:val="1800"/>
  <w:drawingGridVerticalOrigin w:val="1440"/>
  <w:noPunctuationKerning w:val="true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0C"/>
    <w:rsid w:val="00145564"/>
    <w:rsid w:val="003653FF"/>
    <w:rsid w:val="00377E11"/>
    <w:rsid w:val="00460706"/>
    <w:rsid w:val="00474DC8"/>
    <w:rsid w:val="00482503"/>
    <w:rsid w:val="00486D4B"/>
    <w:rsid w:val="004D60EF"/>
    <w:rsid w:val="0051064A"/>
    <w:rsid w:val="00535F1D"/>
    <w:rsid w:val="005C3A6A"/>
    <w:rsid w:val="006648A3"/>
    <w:rsid w:val="006D1F02"/>
    <w:rsid w:val="006D79E0"/>
    <w:rsid w:val="007402C4"/>
    <w:rsid w:val="007D2C42"/>
    <w:rsid w:val="008A3C25"/>
    <w:rsid w:val="008C0F82"/>
    <w:rsid w:val="00995DCF"/>
    <w:rsid w:val="009D2037"/>
    <w:rsid w:val="00A17A10"/>
    <w:rsid w:val="00B95F0C"/>
    <w:rsid w:val="00E0160C"/>
    <w:rsid w:val="00EA4F5A"/>
    <w:rsid w:val="00F06FDD"/>
    <w:rsid w:val="00F70A9D"/>
    <w:rsid w:val="08424E21"/>
    <w:rsid w:val="08E336F1"/>
    <w:rsid w:val="08EA1B71"/>
    <w:rsid w:val="09A61271"/>
    <w:rsid w:val="0B095E8B"/>
    <w:rsid w:val="0BDD432E"/>
    <w:rsid w:val="0C0E68A1"/>
    <w:rsid w:val="0E961FCD"/>
    <w:rsid w:val="163172D0"/>
    <w:rsid w:val="1A892E35"/>
    <w:rsid w:val="1EF00C73"/>
    <w:rsid w:val="21144F19"/>
    <w:rsid w:val="2591782A"/>
    <w:rsid w:val="26D8279C"/>
    <w:rsid w:val="279E5398"/>
    <w:rsid w:val="2BDB4D09"/>
    <w:rsid w:val="2E957E3C"/>
    <w:rsid w:val="2EED05D0"/>
    <w:rsid w:val="2FE32D7E"/>
    <w:rsid w:val="38381B29"/>
    <w:rsid w:val="3C1F53E2"/>
    <w:rsid w:val="3E9B3824"/>
    <w:rsid w:val="43476ABE"/>
    <w:rsid w:val="475400DA"/>
    <w:rsid w:val="485850D9"/>
    <w:rsid w:val="4B604B03"/>
    <w:rsid w:val="4D46485D"/>
    <w:rsid w:val="50FE7EC2"/>
    <w:rsid w:val="53C9691D"/>
    <w:rsid w:val="57CF205C"/>
    <w:rsid w:val="5A8B4ED0"/>
    <w:rsid w:val="5AEC68AE"/>
    <w:rsid w:val="5F4B2BAA"/>
    <w:rsid w:val="610A4EDC"/>
    <w:rsid w:val="61513637"/>
    <w:rsid w:val="687667B7"/>
    <w:rsid w:val="6A2E15A8"/>
    <w:rsid w:val="6A956A80"/>
    <w:rsid w:val="6BDA6456"/>
    <w:rsid w:val="6CE30086"/>
    <w:rsid w:val="6E286A0A"/>
    <w:rsid w:val="6FBC365E"/>
    <w:rsid w:val="6FF3F3F0"/>
    <w:rsid w:val="73110190"/>
    <w:rsid w:val="75BF7CA5"/>
    <w:rsid w:val="76BB73AF"/>
    <w:rsid w:val="7704313F"/>
    <w:rsid w:val="7B8031E5"/>
    <w:rsid w:val="7E592CD4"/>
    <w:rsid w:val="7EDFBD1E"/>
    <w:rsid w:val="7FC66ADF"/>
    <w:rsid w:val="ABD9DCE3"/>
    <w:rsid w:val="BEFFE726"/>
    <w:rsid w:val="BF3D480C"/>
    <w:rsid w:val="CBFFE45E"/>
    <w:rsid w:val="DEF7C544"/>
    <w:rsid w:val="F4DBB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字符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1007</Characters>
  <Lines>8</Lines>
  <Paragraphs>2</Paragraphs>
  <TotalTime>1</TotalTime>
  <ScaleCrop>false</ScaleCrop>
  <LinksUpToDate>false</LinksUpToDate>
  <CharactersWithSpaces>1181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2021-09-10T01:06:00Z</dcterms:created>
  <dc:creator>Admin</dc:creator>
  <cp:lastModifiedBy>user</cp:lastModifiedBy>
  <cp:lastPrinted>2021-11-28T06:52:00Z</cp:lastPrinted>
  <dcterms:modified xsi:type="dcterms:W3CDTF">2021-11-30T10:35:15Z</dcterms:modified>
  <dc:title>三亚市学区化集团化办学督导考核评估指标（试行稿）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