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rPr>
          <w:rFonts w:hint="eastAsia" w:ascii="黑体" w:hAnsi="Times New Roman" w:eastAsia="黑体"/>
          <w:sz w:val="32"/>
          <w:szCs w:val="20"/>
        </w:rPr>
      </w:pPr>
      <w:r>
        <w:rPr>
          <w:rFonts w:hint="eastAsia" w:ascii="黑体" w:hAnsi="Times New Roman" w:eastAsia="黑体"/>
          <w:sz w:val="32"/>
          <w:szCs w:val="20"/>
        </w:rPr>
        <w:t>附件2</w:t>
      </w:r>
    </w:p>
    <w:p>
      <w:pPr>
        <w:widowControl/>
        <w:spacing w:line="360" w:lineRule="exact"/>
        <w:rPr>
          <w:rFonts w:hint="eastAsia" w:ascii="黑体" w:hAnsi="Times New Roman" w:eastAsia="黑体"/>
          <w:sz w:val="32"/>
          <w:szCs w:val="20"/>
        </w:rPr>
      </w:pPr>
    </w:p>
    <w:p>
      <w:pPr>
        <w:widowControl/>
        <w:spacing w:line="600" w:lineRule="exact"/>
        <w:jc w:val="center"/>
        <w:rPr>
          <w:rFonts w:hint="default" w:ascii="方正小标宋_GBK" w:hAnsi="Times New Roman" w:eastAsia="方正小标宋_GBK"/>
          <w:sz w:val="44"/>
          <w:szCs w:val="20"/>
          <w:lang w:val="en-US" w:eastAsia="zh-CN"/>
        </w:rPr>
      </w:pPr>
      <w:r>
        <w:rPr>
          <w:rFonts w:hint="eastAsia" w:ascii="方正小标宋_GBK" w:hAnsi="Times New Roman" w:eastAsia="方正小标宋_GBK"/>
          <w:sz w:val="44"/>
          <w:szCs w:val="20"/>
          <w:lang w:eastAsia="zh-CN"/>
        </w:rPr>
        <w:t>三亚市</w:t>
      </w:r>
      <w:r>
        <w:rPr>
          <w:rFonts w:hint="eastAsia" w:ascii="方正小标宋_GBK" w:hAnsi="Times New Roman" w:eastAsia="方正小标宋_GBK"/>
          <w:sz w:val="44"/>
          <w:szCs w:val="20"/>
        </w:rPr>
        <w:t>民办幼儿园年检指标</w:t>
      </w:r>
      <w:r>
        <w:rPr>
          <w:rFonts w:hint="eastAsia" w:ascii="方正小标宋_GBK" w:hAnsi="Times New Roman" w:eastAsia="方正小标宋_GBK"/>
          <w:sz w:val="44"/>
          <w:szCs w:val="20"/>
          <w:lang w:eastAsia="zh-CN"/>
        </w:rPr>
        <w:t>（</w:t>
      </w:r>
      <w:r>
        <w:rPr>
          <w:rFonts w:hint="eastAsia" w:ascii="方正小标宋_GBK" w:hAnsi="Times New Roman" w:eastAsia="方正小标宋_GBK"/>
          <w:sz w:val="44"/>
          <w:szCs w:val="20"/>
          <w:lang w:val="en-US" w:eastAsia="zh-CN"/>
        </w:rPr>
        <w:t>2023年版）</w:t>
      </w:r>
    </w:p>
    <w:p>
      <w:pPr>
        <w:widowControl/>
        <w:spacing w:line="240" w:lineRule="exact"/>
        <w:jc w:val="center"/>
        <w:rPr>
          <w:rFonts w:hint="eastAsia" w:ascii="方正小标宋简体" w:hAnsi="Times New Roman" w:eastAsia="方正小标宋简体"/>
          <w:sz w:val="44"/>
          <w:szCs w:val="20"/>
        </w:rPr>
      </w:pPr>
    </w:p>
    <w:p>
      <w:pPr>
        <w:widowControl/>
        <w:spacing w:after="93" w:afterLines="30" w:line="360" w:lineRule="exact"/>
        <w:rPr>
          <w:rFonts w:hint="eastAsia" w:ascii="宋体" w:hAnsi="Times New Roman"/>
          <w:sz w:val="28"/>
          <w:szCs w:val="20"/>
        </w:rPr>
      </w:pPr>
      <w:r>
        <w:rPr>
          <w:rFonts w:hint="eastAsia" w:ascii="宋体" w:hAnsi="Times New Roman"/>
          <w:sz w:val="28"/>
          <w:szCs w:val="20"/>
        </w:rPr>
        <w:t>检查时间：                           年检负责人：</w:t>
      </w:r>
    </w:p>
    <w:tbl>
      <w:tblPr>
        <w:tblStyle w:val="5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972"/>
        <w:gridCol w:w="717"/>
        <w:gridCol w:w="538"/>
        <w:gridCol w:w="780"/>
        <w:gridCol w:w="295"/>
        <w:gridCol w:w="897"/>
        <w:gridCol w:w="1343"/>
        <w:gridCol w:w="1015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园名</w:t>
            </w:r>
          </w:p>
        </w:tc>
        <w:tc>
          <w:tcPr>
            <w:tcW w:w="32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园址</w:t>
            </w:r>
          </w:p>
        </w:tc>
        <w:tc>
          <w:tcPr>
            <w:tcW w:w="465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举办者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许可证号</w:t>
            </w:r>
          </w:p>
        </w:tc>
        <w:tc>
          <w:tcPr>
            <w:tcW w:w="19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批办时间</w:t>
            </w: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园长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16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教职工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人数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幼儿数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</w:t>
            </w:r>
          </w:p>
        </w:tc>
        <w:tc>
          <w:tcPr>
            <w:tcW w:w="654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自评分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考核分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园舍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15分</w:t>
            </w:r>
          </w:p>
        </w:tc>
        <w:tc>
          <w:tcPr>
            <w:tcW w:w="654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1.有相对独立、封闭、安全的园舍、环境良好，无危房建筑。5分（注：园舍要坚固安全，无危险，同时需提供有资质的专业机构近五年内出具的园舍安全鉴定报告，否则不能通过年检，并责令停止办园。）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2.消防通道畅通。2分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3.有一定面积的绿化地、有种植园（角）。2分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4.户外活动场地面积生均不低于2㎡，能保证幼儿户外活动需要。4分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5.有活动室（寝室）、盥洗室、厨房、办公室、保健室，且布局合理。2分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幼儿园设施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15分</w:t>
            </w:r>
          </w:p>
        </w:tc>
        <w:tc>
          <w:tcPr>
            <w:tcW w:w="654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1.有能满足幼儿攀、爬、钻、荡、跳等活动需要的运动器械。2分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2.每班有1台钢琴（或电钢琴，或风琴）。1分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3.幼儿读物人均10册以上，且每班复本不超过5册。2分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4.有配套的幼儿床、桌、椅，且数量满足每人一椅一床，各类家具符合幼儿身高要求。2分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5.有图书架、自然角、流水洗手设施。1分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6.保健室有体重秤、身长计、体温计、儿童视力表等。2分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7.玩具材料种类丰富，数量充足，以低结构材料为主，能够同时满足半数以上的在园幼儿游戏的需要。5分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654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1.建立健全安全管理制度，开展安全教育、安防专题培训，每学期不少于一次安全突发事件应急处置演练。2分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2.配齐护卫器械。2分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3.实行封闭管理。幼儿园大门外应设置拒马、隔离墩或升降柱等硬质防冲撞设施；学校周界应设置围墙、金属栅栏等实体防护屏障，实体防护屏障的外侧整体高度（含滚刺网等防攀爬设施）应不少于2m。2分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4.门卫室（传达室/警卫室）应设置一键报警装置和视频监控装置。一键报警装置应与属地公安机关联网。视频图像应不间断记录，储存时间应不少于30天。2分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5.幼儿上下学时间段的安全保卫措施得当。城镇校园应设置护学岗。2分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.幼儿接送制度健全，能保障幼儿接送安全，有校车的幼儿园，校车安全设计应符合国家标准，所有座椅应前向安装。校车管理使用安全符合规定，每半年进行一次机动车安全技术检验，学校定期组织校车安全事故应急处理演练。1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7.消防设施设备完好，且在有效期内。2分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1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5分</w:t>
            </w:r>
          </w:p>
        </w:tc>
        <w:tc>
          <w:tcPr>
            <w:tcW w:w="6542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1.全园教职工热爱幼教工作，关心、尊重幼儿；身心健康，无体罚或变相体罚幼儿现象。3分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2.按有关规定备足配齐各类人员。6分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3.幼儿园教职工具有相应资格证及健康证明。3分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4.幼儿园每班人数：小班不超过25人；中班不超过30人；大班不超过35人。3分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15分</w:t>
            </w:r>
          </w:p>
        </w:tc>
        <w:tc>
          <w:tcPr>
            <w:tcW w:w="6542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能根据《幼儿园教育指导纲要（试行）》、《3-6岁儿童学习与发展指南》和《幼儿园保育教育质量评估指南》等文件精神，结合本园、班实际，制订符合幼儿发展的各类教育计划和撰写相应的总结（反思），合理有序地组织幼儿开展各项活动。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2.坚持儿童为本，以游戏为基本活动，确保幼儿每天有充分的自主游戏时间。3分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3.重视幼儿通过绘画、讲述等方式对自己经历过的游戏、阅读图画书观察等活动进行表达表征。2分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4.教师能一对一倾听并真实记录幼儿的想法和体验。2分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5.每天户外活动时间不少于2小时，寄宿制幼儿园不得少于3小时。2分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6.经常开展与园所发展需求相适宜的教研活动，有合理的教研制度。1分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7.能通过家长会、家长开放日等多种途径向家长宣传科学育儿理念和知识。1分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8.不使用幼儿教材和境外课程，防止存在意识形态和宗教等渗透的图画书进入幼儿园。2分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六、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卫生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保健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15分</w:t>
            </w:r>
          </w:p>
        </w:tc>
        <w:tc>
          <w:tcPr>
            <w:tcW w:w="6542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1.有卫生保健及安全制度，各种记录表（册）健全，记录完整，有统计、有分析。2分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2.有计划免疫接种查验制度，有传染病防治制度及预案。2分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3.教师、幼儿定期体检，有健康档案，重视幼儿生长发育监测工作。2分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4.做到一人一巾一杯、一日一消毒，餐具餐餐消毒，饭前便后流水洗手，饭后漱口。2分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5.每周制定一次营养均衡的带量食谱，引导幼儿养成良好的饮食习惯，每餐食物有留样。3分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6.食堂设施完备，生熟分开，炊具、用具、餐具卫生，定期消毒（有标志、有记录）。2分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7.杜绝幼儿食物中毒事件发生。2分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12分</w:t>
            </w:r>
          </w:p>
        </w:tc>
        <w:tc>
          <w:tcPr>
            <w:tcW w:w="6542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1.依法办园，坚持社会主义办学方向，健全党组织对幼儿园工作领导的制度机制，按照幼教规律对幼儿园实行管理；有中长期发展规划、年度工作计划等符合本园实际；各项管理制度健全。2分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2.财务状况稳定，经费使用合理，收支账目清楚。1分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3.建立办学成本核算制度，按照规定建立健全收退费标准与制度，严格执行发改部门核定的收费标准。1分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4.按照规定进行审计并出具审计报告。1分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5.民办幼儿园在银行开设或指定学费及财政补助资金专用存款账户，用于核算幼儿园学费及财政补助资金的收入和支出。具体银行由幼儿园自行选择，并报教育行政管理部门备案。1分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6.普惠性民办幼儿园奖补资金使用规范；营利性民办幼儿园办学结余分配应当在年度财务结算后进行。2分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7.能有计划地对各类人员开展培训工作。1分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8.依法与教职工签订聘用合同，并严格执行。按国家规定的法律法规缴纳社会保险，按时足额发放工资。2分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9.增加严格执行收费备案及公示制度。1分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66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注：总分60分以下年检不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60—79分年检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基本合格（年检基本合格的幼儿园须整改至年检合格方能通过年检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80分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-89分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年检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90分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年检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优秀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</w:tbl>
    <w:p>
      <w:pPr>
        <w:widowControl/>
        <w:spacing w:line="240" w:lineRule="exact"/>
        <w:rPr>
          <w:rFonts w:hint="eastAsia" w:ascii="宋体" w:hAnsi="宋体" w:eastAsia="宋体" w:cs="宋体"/>
          <w:sz w:val="21"/>
          <w:szCs w:val="21"/>
        </w:rPr>
      </w:pPr>
    </w:p>
    <w:p>
      <w:pPr>
        <w:bidi w:val="0"/>
        <w:rPr>
          <w:rFonts w:hint="eastAsia" w:ascii="宋体" w:hAnsi="Times New Roman"/>
          <w:sz w:val="28"/>
          <w:szCs w:val="20"/>
        </w:rPr>
      </w:pPr>
      <w:r>
        <w:rPr>
          <w:rFonts w:hint="eastAsia" w:ascii="宋体" w:hAnsi="Times New Roman"/>
          <w:sz w:val="28"/>
          <w:szCs w:val="20"/>
        </w:rPr>
        <w:t>受检园长签名：                  年检组成员签名：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7045F"/>
    <w:rsid w:val="65B1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2025-05-08T18:13:00Z</dcterms:created>
  <dc:creator>Yue</dc:creator>
  <cp:lastModifiedBy>user</cp:lastModifiedBy>
  <dcterms:modified xsi:type="dcterms:W3CDTF">2026-05-09T09:44:15Z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KSOTemplateDocerSaveRecord">
    <vt:lpwstr>eyJoZGlkIjoiOWQ2ZWExMDIwMTAyNTlkY2I3MDQ0MGE2NzkwYzQ5NGQiLCJ1c2VySWQiOiIzNTc2NDc1ODgifQ==</vt:lpwstr>
  </property>
  <property fmtid="{D5CDD505-2E9C-101B-9397-08002B2CF9AE}" pid="4" name="ICV">
    <vt:lpwstr>6250A95242DC297A6F91FE691B335939</vt:lpwstr>
  </property>
</Properties>
</file>