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附件6</w:t>
      </w:r>
    </w:p>
    <w:p>
      <w:pPr>
        <w:pStyle w:val="2"/>
        <w:ind w:left="490" w:leftChars="0" w:hanging="490" w:hangingChars="175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2022年三亚市公开遴选校外培训机构参与课后服务评审标准</w:t>
      </w:r>
    </w:p>
    <w:p>
      <w:pPr>
        <w:pStyle w:val="2"/>
        <w:ind w:left="490" w:leftChars="0" w:hanging="490" w:hangingChars="175"/>
        <w:jc w:val="center"/>
        <w:rPr>
          <w:rFonts w:hint="default"/>
          <w:sz w:val="21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（体育类）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4818"/>
        <w:gridCol w:w="1318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2022年三亚市公开遴选校外培训机构参与课后服务评审标准</w:t>
            </w:r>
          </w:p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（体育类）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评审项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评审要求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办学资质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有效期内的营业执照（工商营业执照、民非企业登记证、社会团体法人登记证）、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教育部门颁发的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办学许可或其他证件；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培训机构上年度民办学校年检为合格及以上结论的相关材料。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tabs>
                <w:tab w:val="left" w:pos="929"/>
              </w:tabs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教师资质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参与进校园的培训机构教师需提供教师资格证（体育专业资格证书）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参与进校园的培训机构教师需提供健康证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参与进校园的培训机构需提供师资信息汇总（含授课教师毕业院校、主修专业、从教时间等）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现任教师所获得荣誉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培训机构</w:t>
            </w:r>
          </w:p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教育部门颁发的办学许可证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培训机构所获得荣誉及办学成效相关材料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参与社会志愿活动简历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办学时长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以年为单位计算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收费标准合理，符合省、市文件规定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专家评价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专家组对申报的培训机构进行综合评价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申报材料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有意参与校内课后服务的培训机构递交齐全、完整、有效的纸质版申请材料和电子版申请材料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《三亚市校外培训机构参与课后服务申请表》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0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分数合计：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1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2021-12-24T07:46:41Z</dcterms:created>
  <dc:creator>chang</dc:creator>
  <cp:lastModifiedBy>常妈不买山海经</cp:lastModifiedBy>
  <dcterms:modified xsi:type="dcterms:W3CDTF">2021-12-24T07:46:44Z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80B17D295D854041AA99806D703B7088</vt:lpwstr>
  </property>
</Properties>
</file>